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21FBF" w:rsidRPr="0093455C" w:rsidTr="00914E4D"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93455C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color w:val="FF0000"/>
                <w:spacing w:val="6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0B24DF9" wp14:editId="7365FF07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2" name="Picture 2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FBF" w:rsidRPr="0093455C" w:rsidTr="00914E4D">
        <w:trPr>
          <w:trHeight w:val="323"/>
        </w:trPr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A21FBF" w:rsidRPr="0093455C" w:rsidRDefault="00A21FBF" w:rsidP="009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404-02-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/2018-08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 w:rsidR="008E1F59">
              <w:rPr>
                <w:rFonts w:ascii="Times New Roman" w:hAnsi="Times New Roman"/>
                <w:sz w:val="24"/>
                <w:szCs w:val="24"/>
              </w:rPr>
              <w:t>1</w:t>
            </w:r>
            <w:r w:rsidR="00B94C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2018. године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21FBF" w:rsidRDefault="00A21FBF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6574" w:rsidRDefault="00B66574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ДОДАТНА ПОЈАШЊЕЊА КОНКУРСНЕ ДОКУМЕНТАЦИЈЕ</w:t>
      </w:r>
    </w:p>
    <w:p w:rsidR="00A21FBF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број </w:t>
      </w:r>
      <w:r w:rsidRPr="00D14146">
        <w:rPr>
          <w:rFonts w:ascii="Times New Roman" w:hAnsi="Times New Roman"/>
          <w:bCs/>
          <w:sz w:val="24"/>
          <w:szCs w:val="24"/>
          <w:lang w:val="uz-Cyrl-UZ"/>
        </w:rPr>
        <w:t>1</w:t>
      </w:r>
      <w:r w:rsidRPr="00D14146">
        <w:rPr>
          <w:rFonts w:ascii="Times New Roman" w:hAnsi="Times New Roman"/>
          <w:bCs/>
          <w:sz w:val="24"/>
          <w:szCs w:val="24"/>
        </w:rPr>
        <w:t>.</w:t>
      </w:r>
      <w:r w:rsidRPr="00D14146">
        <w:rPr>
          <w:rFonts w:ascii="Times New Roman" w:hAnsi="Times New Roman"/>
          <w:sz w:val="24"/>
          <w:szCs w:val="24"/>
        </w:rPr>
        <w:t>3.</w:t>
      </w:r>
      <w:r w:rsidR="00A21FBF">
        <w:rPr>
          <w:rFonts w:ascii="Times New Roman" w:hAnsi="Times New Roman"/>
          <w:sz w:val="24"/>
          <w:szCs w:val="24"/>
          <w:lang w:val="sr-Cyrl-RS"/>
        </w:rPr>
        <w:t>3</w:t>
      </w:r>
      <w:r w:rsidRPr="00D14146">
        <w:rPr>
          <w:rFonts w:ascii="Times New Roman" w:hAnsi="Times New Roman"/>
          <w:sz w:val="24"/>
          <w:szCs w:val="24"/>
        </w:rPr>
        <w:t>/2018</w:t>
      </w:r>
    </w:p>
    <w:p w:rsidR="002470AF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14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49BB">
        <w:rPr>
          <w:rFonts w:ascii="Times New Roman" w:hAnsi="Times New Roman"/>
          <w:sz w:val="24"/>
          <w:szCs w:val="24"/>
          <w:lang w:val="ru-RU"/>
        </w:rPr>
        <w:t>радови</w:t>
      </w:r>
      <w:r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5849B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A21FBF">
        <w:rPr>
          <w:rFonts w:ascii="Times New Roman" w:hAnsi="Times New Roman"/>
          <w:i/>
          <w:sz w:val="24"/>
          <w:szCs w:val="24"/>
          <w:lang w:val="ru-RU"/>
        </w:rPr>
        <w:t>з</w:t>
      </w:r>
      <w:r w:rsidR="00A21FBF">
        <w:rPr>
          <w:rFonts w:ascii="Times New Roman" w:hAnsi="Times New Roman"/>
          <w:sz w:val="24"/>
          <w:szCs w:val="24"/>
          <w:lang w:val="sr-Cyrl-CS"/>
        </w:rPr>
        <w:t>авршетку изградње Дома Партизана у Лесковцу</w:t>
      </w:r>
    </w:p>
    <w:p w:rsidR="00A21FBF" w:rsidRDefault="00A21FBF" w:rsidP="00A2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FC5" w:rsidRDefault="002470AF" w:rsidP="00091FC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:rsidR="00091FC5" w:rsidRPr="00F87010" w:rsidRDefault="008E1F59" w:rsidP="00F870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банкарска гаранција за озбиљност понуде, као и наведена писма о намерама банке, гласе на Министарство омладине и спорта или на град Лесковац?</w:t>
      </w:r>
    </w:p>
    <w:p w:rsidR="00091FC5" w:rsidRPr="00F87010" w:rsidRDefault="00091FC5" w:rsidP="00F8701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7010">
        <w:rPr>
          <w:rFonts w:ascii="Times New Roman" w:hAnsi="Times New Roman" w:cs="Times New Roman"/>
          <w:sz w:val="24"/>
          <w:szCs w:val="24"/>
          <w:lang w:val="sr-Cyrl-CS"/>
        </w:rPr>
        <w:t>Одговор:</w:t>
      </w:r>
    </w:p>
    <w:p w:rsidR="008E1F59" w:rsidRPr="008E1F59" w:rsidRDefault="008E1F59" w:rsidP="008E1F5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1F59">
        <w:rPr>
          <w:rFonts w:ascii="Times New Roman" w:hAnsi="Times New Roman"/>
          <w:sz w:val="24"/>
          <w:szCs w:val="24"/>
          <w:lang w:val="sr-Cyrl-RS"/>
        </w:rPr>
        <w:t xml:space="preserve">У Поглављу </w:t>
      </w:r>
      <w:r w:rsidRPr="008E1F59">
        <w:rPr>
          <w:rFonts w:ascii="Times New Roman" w:hAnsi="Times New Roman"/>
          <w:sz w:val="24"/>
          <w:szCs w:val="24"/>
          <w:lang w:val="sr-Latn-RS"/>
        </w:rPr>
        <w:t>IV</w:t>
      </w:r>
      <w:r w:rsidRPr="008E1F59">
        <w:rPr>
          <w:rFonts w:ascii="Times New Roman" w:hAnsi="Times New Roman"/>
          <w:sz w:val="24"/>
          <w:szCs w:val="24"/>
          <w:lang w:val="sr-Cyrl-RS"/>
        </w:rPr>
        <w:t xml:space="preserve"> Упутство понуђачима како да сачине понуду у тачки 1</w:t>
      </w:r>
      <w:r w:rsidRPr="008E1F59">
        <w:rPr>
          <w:rFonts w:ascii="Times New Roman" w:hAnsi="Times New Roman"/>
          <w:sz w:val="24"/>
          <w:szCs w:val="24"/>
        </w:rPr>
        <w:t>6</w:t>
      </w:r>
      <w:r w:rsidRPr="008E1F59">
        <w:rPr>
          <w:rFonts w:ascii="Times New Roman" w:hAnsi="Times New Roman"/>
          <w:sz w:val="24"/>
          <w:szCs w:val="24"/>
          <w:lang w:val="sr-Cyrl-RS"/>
        </w:rPr>
        <w:t xml:space="preserve">. Подаци о врсти, садржини, начину подношења, висини и роковима обезбеђења испуњења обавеза понуђача предвиђена су средства финансијског обезбеђења, која је потребно доставити уз понуду </w:t>
      </w:r>
      <w:r w:rsidRPr="008E1F59">
        <w:rPr>
          <w:rFonts w:ascii="Times New Roman" w:hAnsi="Times New Roman"/>
          <w:bCs/>
          <w:sz w:val="24"/>
          <w:szCs w:val="24"/>
        </w:rPr>
        <w:t>у корист Министарства</w:t>
      </w:r>
      <w:r>
        <w:rPr>
          <w:rFonts w:ascii="Times New Roman" w:hAnsi="Times New Roman"/>
          <w:bCs/>
          <w:sz w:val="24"/>
          <w:szCs w:val="24"/>
          <w:lang w:val="sr-Cyrl-RS"/>
        </w:rPr>
        <w:t>,</w:t>
      </w:r>
      <w:r w:rsidRPr="008E1F59">
        <w:rPr>
          <w:rFonts w:ascii="Times New Roman" w:hAnsi="Times New Roman"/>
          <w:sz w:val="24"/>
          <w:szCs w:val="24"/>
          <w:lang w:val="sr-Cyrl-RS"/>
        </w:rPr>
        <w:t xml:space="preserve"> као и средства финансијског обезбеђења која ће се обавезно достављати у складу са условима из Модела уговора, члан 9, који је саставни део конкурсне документације. Средства финансијског обезбеђења треба да садрже податке како је то предвиђено конкурсном документацијом. </w:t>
      </w:r>
    </w:p>
    <w:p w:rsidR="008E1F59" w:rsidRDefault="008E1F59" w:rsidP="00F87010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091FC5" w:rsidRPr="00F87010" w:rsidRDefault="002470AF" w:rsidP="00F87010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F87010">
        <w:rPr>
          <w:rFonts w:ascii="Times New Roman" w:hAnsi="Times New Roman" w:cs="Times New Roman"/>
          <w:iCs/>
          <w:sz w:val="24"/>
          <w:szCs w:val="24"/>
          <w:lang w:val="sr-Cyrl-CS"/>
        </w:rPr>
        <w:t>Питање</w:t>
      </w:r>
      <w:r w:rsidR="00091FC5" w:rsidRPr="00F87010">
        <w:rPr>
          <w:rFonts w:ascii="Times New Roman" w:hAnsi="Times New Roman" w:cs="Times New Roman"/>
          <w:iCs/>
          <w:sz w:val="24"/>
          <w:szCs w:val="24"/>
          <w:lang w:val="sr-Cyrl-CS"/>
        </w:rPr>
        <w:t>:</w:t>
      </w:r>
    </w:p>
    <w:p w:rsidR="00F87010" w:rsidRPr="00F87010" w:rsidRDefault="008E1F59" w:rsidP="00F87010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Да ли су писма обавезујућег карактера за банку</w:t>
      </w:r>
      <w:r w:rsidR="00A21FBF" w:rsidRPr="00F87010">
        <w:rPr>
          <w:rFonts w:ascii="Times New Roman" w:hAnsi="Times New Roman"/>
          <w:sz w:val="24"/>
          <w:szCs w:val="24"/>
          <w:lang w:val="ru-RU"/>
        </w:rPr>
        <w:t>?</w:t>
      </w:r>
    </w:p>
    <w:p w:rsidR="00091FC5" w:rsidRPr="00F87010" w:rsidRDefault="00091FC5" w:rsidP="00F87010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ru-RU"/>
        </w:rPr>
      </w:pPr>
      <w:r w:rsidRPr="00F87010">
        <w:rPr>
          <w:rFonts w:ascii="Times New Roman" w:hAnsi="Times New Roman"/>
          <w:sz w:val="24"/>
          <w:szCs w:val="24"/>
          <w:lang w:val="ru-RU"/>
        </w:rPr>
        <w:t>Одговор:</w:t>
      </w:r>
    </w:p>
    <w:p w:rsidR="00F87010" w:rsidRDefault="008E1F59" w:rsidP="00F8701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Одговор на ово питање је већ дат и објављен</w:t>
      </w:r>
      <w:r w:rsidR="00F87010" w:rsidRPr="00F87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 Порталу јавних набавки и интернет страници наручиоца дана 5. јуна 2018. године. </w:t>
      </w:r>
      <w:r w:rsidR="00F87010" w:rsidRPr="00F87010">
        <w:rPr>
          <w:rFonts w:ascii="Times New Roman" w:hAnsi="Times New Roman"/>
          <w:sz w:val="24"/>
          <w:szCs w:val="24"/>
          <w:lang w:val="sr-Cyrl-RS"/>
        </w:rPr>
        <w:t>Средства финансијског обезбеђења треба да садрже податке како је то предви</w:t>
      </w:r>
      <w:r w:rsidR="00AB7476">
        <w:rPr>
          <w:rFonts w:ascii="Times New Roman" w:hAnsi="Times New Roman"/>
          <w:sz w:val="24"/>
          <w:szCs w:val="24"/>
          <w:lang w:val="sr-Cyrl-RS"/>
        </w:rPr>
        <w:t>ђено конкурсном документацијом</w:t>
      </w:r>
      <w:r w:rsidR="00B66574">
        <w:rPr>
          <w:rFonts w:ascii="Times New Roman" w:hAnsi="Times New Roman"/>
          <w:sz w:val="24"/>
          <w:szCs w:val="24"/>
          <w:lang w:val="sr-Cyrl-RS"/>
        </w:rPr>
        <w:t xml:space="preserve"> где није наведено да ли су иста обевезујућа или не. Такође је у конкурсној документацији наведено која средства финансијског обезбеђења ће се обавезно достављати у складу са условима из Модела уговора који је њен саставни део</w:t>
      </w:r>
      <w:r w:rsidR="008070E4">
        <w:rPr>
          <w:rFonts w:ascii="Times New Roman" w:hAnsi="Times New Roman"/>
          <w:sz w:val="24"/>
          <w:szCs w:val="24"/>
          <w:lang w:val="sr-Cyrl-RS"/>
        </w:rPr>
        <w:t xml:space="preserve">. Треба имати у виду одредбу члана 106. Закона о јавним набавкама, којим су дефинисани битни недостаци понуде, којим је предвиђено да ће наручилац одбити понуду, између осталог, уколико понуђач није доставио тражено средство обезбеђења. </w:t>
      </w:r>
    </w:p>
    <w:p w:rsidR="00B66574" w:rsidRDefault="00B66574" w:rsidP="00F8701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6574" w:rsidRDefault="00B66574" w:rsidP="00F8701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6574" w:rsidRDefault="00B66574" w:rsidP="00F8701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7476" w:rsidRDefault="00AB7476" w:rsidP="00F8701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7476" w:rsidRDefault="00AB7476" w:rsidP="00F8701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Питање:</w:t>
      </w:r>
    </w:p>
    <w:p w:rsidR="00B66574" w:rsidRDefault="00AB7476" w:rsidP="00F8701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Што се тиче оригинал писма о намерама банке за издавање банкарске гаранције за повраћај авансног плаћања, навели сте „са роком важности најкраће до правдања аванса“. На који рок важности мислите?</w:t>
      </w:r>
    </w:p>
    <w:p w:rsidR="00AB7476" w:rsidRDefault="00AB7476" w:rsidP="00F8701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Одоговор:</w:t>
      </w:r>
    </w:p>
    <w:p w:rsidR="00AB7476" w:rsidRPr="00AB7476" w:rsidRDefault="00AB7476" w:rsidP="00AB7476">
      <w:pPr>
        <w:ind w:right="26"/>
        <w:jc w:val="both"/>
        <w:rPr>
          <w:rFonts w:ascii="Times New Roman" w:hAnsi="Times New Roman"/>
          <w:b/>
          <w:sz w:val="24"/>
          <w:szCs w:val="24"/>
        </w:rPr>
      </w:pPr>
      <w:r w:rsidRPr="00AB7476">
        <w:rPr>
          <w:rFonts w:ascii="Times New Roman" w:hAnsi="Times New Roman"/>
          <w:sz w:val="24"/>
          <w:szCs w:val="24"/>
          <w:lang w:val="sr-Cyrl-RS"/>
        </w:rPr>
        <w:t xml:space="preserve">У Поглављу </w:t>
      </w:r>
      <w:r w:rsidRPr="00AB7476">
        <w:rPr>
          <w:rFonts w:ascii="Times New Roman" w:hAnsi="Times New Roman"/>
          <w:sz w:val="24"/>
          <w:szCs w:val="24"/>
          <w:lang w:val="sr-Latn-RS"/>
        </w:rPr>
        <w:t>IV</w:t>
      </w:r>
      <w:r w:rsidRPr="00AB7476">
        <w:rPr>
          <w:rFonts w:ascii="Times New Roman" w:hAnsi="Times New Roman"/>
          <w:sz w:val="24"/>
          <w:szCs w:val="24"/>
          <w:lang w:val="sr-Cyrl-RS"/>
        </w:rPr>
        <w:t xml:space="preserve"> Упутство понуђачима како да сачине понуду у тачки 1</w:t>
      </w:r>
      <w:r w:rsidRPr="00AB7476">
        <w:rPr>
          <w:rFonts w:ascii="Times New Roman" w:hAnsi="Times New Roman"/>
          <w:sz w:val="24"/>
          <w:szCs w:val="24"/>
        </w:rPr>
        <w:t>6</w:t>
      </w:r>
      <w:r w:rsidRPr="00AB7476">
        <w:rPr>
          <w:rFonts w:ascii="Times New Roman" w:hAnsi="Times New Roman"/>
          <w:sz w:val="24"/>
          <w:szCs w:val="24"/>
          <w:lang w:val="sr-Cyrl-RS"/>
        </w:rPr>
        <w:t xml:space="preserve">. Подаци о врсти, садржини, начину подношења, висини и роковима обезбеђења испуњења обавеза понуђача предвиђена су средства финансијског обезбеђења, која је потребно доставити уз понуду </w:t>
      </w:r>
      <w:r w:rsidRPr="00AB7476">
        <w:rPr>
          <w:rFonts w:ascii="Times New Roman" w:hAnsi="Times New Roman"/>
          <w:bCs/>
          <w:sz w:val="24"/>
          <w:szCs w:val="24"/>
        </w:rPr>
        <w:t>у корист Министарства</w:t>
      </w:r>
      <w:r w:rsidRPr="00AB7476">
        <w:rPr>
          <w:rFonts w:ascii="Times New Roman" w:hAnsi="Times New Roman"/>
          <w:bCs/>
          <w:sz w:val="24"/>
          <w:szCs w:val="24"/>
          <w:lang w:val="sr-Cyrl-RS"/>
        </w:rPr>
        <w:t>. Између осталих, понуђач је дужан да достави</w:t>
      </w:r>
      <w:r w:rsidRPr="00AB7476">
        <w:rPr>
          <w:rFonts w:ascii="Times New Roman" w:hAnsi="Times New Roman"/>
          <w:sz w:val="24"/>
          <w:szCs w:val="24"/>
        </w:rPr>
        <w:t xml:space="preserve"> </w:t>
      </w:r>
      <w:r w:rsidRPr="00AB7476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AB7476">
        <w:rPr>
          <w:rFonts w:ascii="Times New Roman" w:hAnsi="Times New Roman"/>
          <w:sz w:val="24"/>
          <w:szCs w:val="24"/>
        </w:rPr>
        <w:t>Оригинал писмо о намерама банке за издавање банкарске гаранције за повраћај авансног плаћања, безусловне и плативе на први позив</w:t>
      </w:r>
      <w:r w:rsidRPr="00AB74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B7476">
        <w:rPr>
          <w:rFonts w:ascii="Times New Roman" w:hAnsi="Times New Roman"/>
          <w:sz w:val="24"/>
          <w:szCs w:val="24"/>
        </w:rPr>
        <w:t>у висини траженог аванса</w:t>
      </w:r>
      <w:r w:rsidRPr="00AB7476">
        <w:rPr>
          <w:rFonts w:ascii="Times New Roman" w:hAnsi="Times New Roman"/>
          <w:sz w:val="24"/>
          <w:szCs w:val="24"/>
          <w:lang w:val="sr-Cyrl-RS"/>
        </w:rPr>
        <w:t xml:space="preserve"> без ПДВ</w:t>
      </w:r>
      <w:r w:rsidRPr="00AB7476">
        <w:rPr>
          <w:rFonts w:ascii="Times New Roman" w:hAnsi="Times New Roman"/>
          <w:sz w:val="24"/>
          <w:szCs w:val="24"/>
        </w:rPr>
        <w:t xml:space="preserve"> и са роком важности најкраће до правдања аванса</w:t>
      </w:r>
      <w:r>
        <w:rPr>
          <w:rFonts w:ascii="Times New Roman" w:hAnsi="Times New Roman"/>
          <w:sz w:val="24"/>
          <w:szCs w:val="24"/>
          <w:lang w:val="sr-Cyrl-RS"/>
        </w:rPr>
        <w:t>, како се то уобичајено и наводи у средствима финансијског обезбеђења која се достављају у поступцима јавних набавки.</w:t>
      </w:r>
    </w:p>
    <w:p w:rsidR="00AB7476" w:rsidRPr="00AB7476" w:rsidRDefault="00AB7476" w:rsidP="00AB7476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7476" w:rsidRPr="00F87010" w:rsidRDefault="00AB7476" w:rsidP="00F8701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1B3C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/>
          <w:noProof/>
          <w:sz w:val="24"/>
          <w:szCs w:val="20"/>
          <w:lang w:val="ru-RU"/>
        </w:rPr>
      </w:pPr>
    </w:p>
    <w:p w:rsidR="00DE1B3C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right"/>
        <w:rPr>
          <w:rFonts w:ascii="Times New Roman" w:hAnsi="Times New Roman"/>
          <w:noProof/>
          <w:sz w:val="24"/>
          <w:szCs w:val="20"/>
          <w:lang w:val="ru-RU"/>
        </w:rPr>
      </w:pPr>
      <w:r>
        <w:rPr>
          <w:rFonts w:ascii="Times New Roman" w:hAnsi="Times New Roman"/>
          <w:noProof/>
          <w:sz w:val="24"/>
          <w:szCs w:val="20"/>
          <w:lang w:val="ru-RU"/>
        </w:rPr>
        <w:t>Комисија за јавну набавку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</w:t>
      </w:r>
    </w:p>
    <w:p w:rsidR="00DE1B3C" w:rsidRDefault="00DE1B3C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B3C" w:rsidSect="004E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6"/>
    <w:rsid w:val="00066C34"/>
    <w:rsid w:val="00091FC5"/>
    <w:rsid w:val="00144203"/>
    <w:rsid w:val="002470AF"/>
    <w:rsid w:val="002844EF"/>
    <w:rsid w:val="00485DD4"/>
    <w:rsid w:val="004E2C44"/>
    <w:rsid w:val="004F7A46"/>
    <w:rsid w:val="00587F66"/>
    <w:rsid w:val="008070E4"/>
    <w:rsid w:val="008E1F59"/>
    <w:rsid w:val="00A05CC8"/>
    <w:rsid w:val="00A21FBF"/>
    <w:rsid w:val="00AB7476"/>
    <w:rsid w:val="00B66574"/>
    <w:rsid w:val="00B94C4D"/>
    <w:rsid w:val="00D14146"/>
    <w:rsid w:val="00DE1B3C"/>
    <w:rsid w:val="00E40120"/>
    <w:rsid w:val="00EB71C7"/>
    <w:rsid w:val="00F87010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08AC-61EB-4A12-877C-E7B16516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3</cp:revision>
  <dcterms:created xsi:type="dcterms:W3CDTF">2018-06-12T07:09:00Z</dcterms:created>
  <dcterms:modified xsi:type="dcterms:W3CDTF">2018-06-12T07:09:00Z</dcterms:modified>
</cp:coreProperties>
</file>